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sz w:val="36"/>
          <w:rtl w:val="0"/>
        </w:rPr>
        <w:t xml:space="preserve">Rhetorical Analysis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Draft due: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during conference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Conferences: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September 3, 5, 8, 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Workshop: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September 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Final due: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September 12 by 11:59 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Points: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150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Requirements: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Choose </w:t>
      </w: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one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of the prompts below to write a rhetorical analysis essay.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3-4 pages, double-spaced, Times New Roman 12 pt font, 1” margins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Prompts (from page 281 in book):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Advertisement/visual: write  your own critical analysis of a single ad or full ad campaign OR some kind of visual text.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Argument: find an article that is well argued and persuasive. Make and support a specific claim about the rhetorical strategies of the piece.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Choice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sz w:val="36"/>
          <w:rtl w:val="0"/>
        </w:rPr>
        <w:t xml:space="preserve">Rhetorical Analysis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Draft due: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during conference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Conferences: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September 3, 5, 8, 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Workshop: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September 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Final due: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September 12 by 11:59 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Points: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150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Requirements: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Choose </w:t>
      </w: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one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of the prompts below to write a rhetorical analysis essay.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3-4 pages, double-spaced, Times New Roman 12 pt font, 1” margins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Prompts (from page 281 in book):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Advertisement/visual: write  your own critical analysis of a single ad or full ad campaign OR some kind of visual text.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Argument: find an article that is well argued and persuasive. Make and support a specific claim about the rhetorical strategies of the piece.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Choice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Analysis Assignment.docx</dc:title>
</cp:coreProperties>
</file>