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680"/>
        <w:gridCol w:w="1920"/>
        <w:gridCol w:w="1920"/>
        <w:gridCol w:w="1920"/>
        <w:gridCol w:w="1920"/>
        <w:tblGridChange w:id="0">
          <w:tblGrid>
            <w:gridCol w:w="1680"/>
            <w:gridCol w:w="1920"/>
            <w:gridCol w:w="1920"/>
            <w:gridCol w:w="1920"/>
            <w:gridCol w:w="19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val="single" w:sz="12"/>
              <w:lef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Element</w:t>
            </w:r>
          </w:p>
        </w:tc>
        <w:tc>
          <w:tcPr>
            <w:tcBorders>
              <w:top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Advanced (A)</w:t>
            </w:r>
          </w:p>
        </w:tc>
        <w:tc>
          <w:tcPr>
            <w:tcBorders>
              <w:top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Proficient (B)</w:t>
            </w:r>
          </w:p>
        </w:tc>
        <w:tc>
          <w:tcPr>
            <w:tcBorders>
              <w:top w:color="000000" w:space="0" w:val="single" w:sz="12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Basic (C)</w:t>
            </w:r>
          </w:p>
        </w:tc>
        <w:tc>
          <w:tcPr>
            <w:tcBorders>
              <w:top w:color="000000" w:space="0" w:val="single" w:sz="12"/>
              <w:left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Below Basic (D)</w:t>
            </w:r>
          </w:p>
        </w:tc>
      </w:tr>
      <w:tr>
        <w:trPr>
          <w:trHeight w:val="1300" w:hRule="atLeast"/>
        </w:trPr>
        <w:tc>
          <w:tcPr>
            <w:tcBorders>
              <w:lef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THESIS &amp; PURPOSE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Clearly identifiable and focused throughout paper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Thesis and/or purpose may wander a little but are focused throughout the majority of the paper</w:t>
            </w:r>
          </w:p>
        </w:tc>
        <w:tc>
          <w:tcPr>
            <w:tcBorders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Thesis and/or purpose  are identifiable but may not be focused throughout entire paper</w:t>
            </w:r>
          </w:p>
        </w:tc>
        <w:tc>
          <w:tcPr>
            <w:tcBorders>
              <w:left w:color="000000" w:space="0" w:val="single" w:sz="4"/>
              <w:right w:color="000000" w:space="0" w:val="single" w:sz="12"/>
            </w:tcBorders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Not identifiable  and/or focused </w:t>
            </w:r>
          </w:p>
        </w:tc>
      </w:tr>
      <w:tr>
        <w:trPr>
          <w:trHeight w:val="1240" w:hRule="atLeast"/>
        </w:trPr>
        <w:tc>
          <w:tcPr>
            <w:tcBorders>
              <w:lef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SUPPORT &amp; DEVELOPMENT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Provides specific evidence; all evidence is completely relevant to thesis/purpose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Evidence is relevant and mostly specific; evidence is mostly explained and connected to thesis and purpose</w:t>
            </w:r>
          </w:p>
        </w:tc>
        <w:tc>
          <w:tcPr>
            <w:tcBorders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Includes evidence, but evidence may not be completely relevant or explained fully</w:t>
            </w:r>
          </w:p>
        </w:tc>
        <w:tc>
          <w:tcPr>
            <w:tcBorders>
              <w:left w:color="000000" w:space="0" w:val="single" w:sz="4"/>
              <w:right w:color="000000" w:space="0" w:val="single" w:sz="12"/>
            </w:tcBorders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Lack of evidence and/or support for thesis and purpose</w:t>
            </w:r>
          </w:p>
        </w:tc>
      </w:tr>
      <w:tr>
        <w:trPr>
          <w:trHeight w:val="2040" w:hRule="atLeast"/>
        </w:trPr>
        <w:tc>
          <w:tcPr>
            <w:tcBorders>
              <w:lef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ORGANIZATION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Original and effective introduction and conclusion; structure enhances thesis and purpose; key transitional words and phrases used effectively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Introduction and conclusion are sufficient; logical progression of ideas; transitions are used appropriately</w:t>
            </w:r>
          </w:p>
        </w:tc>
        <w:tc>
          <w:tcPr>
            <w:tcBorders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Introduction and conclusion are simplistic; essay is somewhat disorganized and difficult to follow; transitions are used ineffectively or incorrectly</w:t>
            </w:r>
          </w:p>
        </w:tc>
        <w:tc>
          <w:tcPr>
            <w:tcBorders>
              <w:left w:color="000000" w:space="0" w:val="single" w:sz="4"/>
              <w:right w:color="000000" w:space="0" w:val="single" w:sz="12"/>
            </w:tcBorders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Introduction and/or conclusion are severely lacking; no recognized organizational pattern used; transitions are non-existent</w:t>
            </w:r>
          </w:p>
        </w:tc>
      </w:tr>
      <w:tr>
        <w:trPr>
          <w:trHeight w:val="2340" w:hRule="atLeast"/>
        </w:trPr>
        <w:tc>
          <w:tcPr>
            <w:tcBorders>
              <w:lef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LANGUAGE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Chooses a tone and level of formality appropriate for audience, purpose, and situation; uses content-specific vocabulary effectively; utilizes a wide variety of sentence structures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Chooses a tone and level of formality acceptable for audience, purpose, and situation; mostly uses content-specific vocabulary; uses a variety of correct sentence structures</w:t>
            </w:r>
          </w:p>
        </w:tc>
        <w:tc>
          <w:tcPr>
            <w:tcBorders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Shifts in tone and/or level of formality; minimal use of content-specific vocabulary; uses a minimal variety of sentence structures </w:t>
            </w:r>
          </w:p>
        </w:tc>
        <w:tc>
          <w:tcPr>
            <w:tcBorders>
              <w:left w:color="000000" w:space="0" w:val="single" w:sz="4"/>
              <w:right w:color="000000" w:space="0" w:val="single" w:sz="12"/>
            </w:tcBorders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Inappropriate tone and/or level of formality; misuses or misinterprets vocabulary; no variation in sentence structure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val="single" w:sz="12"/>
              <w:bottom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Cambria" w:hAnsi="Cambria" w:eastAsia="Cambria" w:ascii="Cambria"/>
                <w:b w:val="1"/>
                <w:sz w:val="20"/>
                <w:rtl w:val="0"/>
              </w:rPr>
              <w:t xml:space="preserve">MECHANICS</w:t>
            </w:r>
          </w:p>
        </w:tc>
        <w:tc>
          <w:tcPr>
            <w:tcBorders>
              <w:bottom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Few GPS errors that do not distract reader; no errors in citations or formatting </w:t>
            </w:r>
          </w:p>
        </w:tc>
        <w:tc>
          <w:tcPr>
            <w:tcBorders>
              <w:bottom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Some GPS errors that may distract reader but do not hinder understanding; minor errors in citations or formatting</w:t>
            </w:r>
          </w:p>
        </w:tc>
        <w:tc>
          <w:tcPr>
            <w:tcBorders>
              <w:bottom w:color="000000" w:space="0" w:val="single" w:sz="12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Some GPS errors that distract the reader and may hinder understanding; major errors in citations or formatting</w:t>
            </w:r>
          </w:p>
        </w:tc>
        <w:tc>
          <w:tcPr>
            <w:tcBorders>
              <w:left w:color="000000" w:space="0" w:val="single" w:sz="4"/>
              <w:bottom w:color="000000" w:space="0" w:val="single" w:sz="12"/>
              <w:right w:color="000000" w:space="0" w:val="single" w:sz="12"/>
            </w:tcBorders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mbria" w:hAnsi="Cambria" w:eastAsia="Cambria" w:ascii="Cambria"/>
                <w:sz w:val="20"/>
                <w:rtl w:val="0"/>
              </w:rPr>
              <w:t xml:space="preserve">Numerous errors that distract the reader and/or hinder understanding; does not follow formal citations or formatting</w:t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Rubric.docx</dc:title>
</cp:coreProperties>
</file>