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Works Cited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August 29 by 11:59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will make an MLA style Works Cited page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TNR 12 point, double spaced, hanging indent, alphabetical order, etc.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Must have at least 5 sources, each of a different kind (e.g. book, website, online database, interview, sound recording, email, television, art, ad)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Works Cited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August 29 by 11:59 pm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30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will make an MLA style Works Cited page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TNR 12 point, double spaced, hanging indent, alphabetical order, etc.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Must have at least 5 sources, each of a different kind (e.g. book, website, online database, interview, sound recording, email, television, art, ad)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Assignment.docx</dc:title>
</cp:coreProperties>
</file>